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December 31, 2021 </w:t>
      </w:r>
    </w:p>
    <w:p w:rsidR="00000000" w:rsidDel="00000000" w:rsidP="00000000" w:rsidRDefault="00000000" w:rsidRPr="00000000" w14:paraId="00000003">
      <w:pPr>
        <w:rPr>
          <w:u w:val="single"/>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 am an ADA Advocate for </w:t>
      </w:r>
      <w:r w:rsidDel="00000000" w:rsidR="00000000" w:rsidRPr="00000000">
        <w:rPr>
          <w:u w:val="single"/>
          <w:rtl w:val="0"/>
        </w:rPr>
        <w:t xml:space="preserve">Angela Freiner </w:t>
      </w:r>
      <w:r w:rsidDel="00000000" w:rsidR="00000000" w:rsidRPr="00000000">
        <w:rPr>
          <w:rtl w:val="0"/>
        </w:rPr>
        <w:t xml:space="preserve">I am</w:t>
      </w:r>
      <w:r w:rsidDel="00000000" w:rsidR="00000000" w:rsidRPr="00000000">
        <w:rPr>
          <w:rtl w:val="0"/>
        </w:rPr>
        <w:t xml:space="preserve"> currently reviewing the file </w:t>
      </w:r>
      <w:r w:rsidDel="00000000" w:rsidR="00000000" w:rsidRPr="00000000">
        <w:rPr>
          <w:u w:val="single"/>
          <w:rtl w:val="0"/>
        </w:rPr>
        <w:t xml:space="preserve">20SL-PN02067.</w:t>
      </w:r>
      <w:r w:rsidDel="00000000" w:rsidR="00000000" w:rsidRPr="00000000">
        <w:rPr>
          <w:rtl w:val="0"/>
        </w:rPr>
        <w:t xml:space="preserve"> I am requesting that all records and documents as listed below, including  confidential records, finding of facts, conclusions of law, and transcripts, be released immediately to my client in order to review and allow ¨effective communication¨ between my client and what has transpired throughout the proceedings. These are to be Free Of Charge, per </w:t>
      </w:r>
      <w:r w:rsidDel="00000000" w:rsidR="00000000" w:rsidRPr="00000000">
        <w:rPr>
          <w:rtl w:val="0"/>
        </w:rPr>
        <w:t xml:space="preserve">Chapter 3 </w:t>
      </w:r>
      <w:r w:rsidDel="00000000" w:rsidR="00000000" w:rsidRPr="00000000">
        <w:rPr>
          <w:rtl w:val="0"/>
        </w:rPr>
        <w:t xml:space="preserve">General Effective Communication Requirements Under Title II of the ADA. For your convenience I have included the link below should you need to share this information with the Records Department. Please inform me or my client when this file is ready for pickup or files can be emailed to </w:t>
      </w:r>
      <w:r w:rsidDel="00000000" w:rsidR="00000000" w:rsidRPr="00000000">
        <w:rPr>
          <w:u w:val="single"/>
          <w:rtl w:val="0"/>
        </w:rPr>
        <w:t xml:space="preserve">Angela Freiner </w:t>
      </w:r>
      <w:r w:rsidDel="00000000" w:rsidR="00000000" w:rsidRPr="00000000">
        <w:rPr>
          <w:rtl w:val="0"/>
        </w:rPr>
        <w:t xml:space="preserve">at </w:t>
      </w:r>
      <w:r w:rsidDel="00000000" w:rsidR="00000000" w:rsidRPr="00000000">
        <w:rPr>
          <w:u w:val="single"/>
          <w:rtl w:val="0"/>
        </w:rPr>
        <w:t xml:space="preserve">angelamfreiner@gmail.com</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Respectfully,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_____________________________</w:t>
      </w:r>
    </w:p>
    <w:p w:rsidR="00000000" w:rsidDel="00000000" w:rsidP="00000000" w:rsidRDefault="00000000" w:rsidRPr="00000000" w14:paraId="0000000A">
      <w:pPr>
        <w:rPr/>
      </w:pPr>
      <w:r w:rsidDel="00000000" w:rsidR="00000000" w:rsidRPr="00000000">
        <w:rPr>
          <w:rtl w:val="0"/>
        </w:rPr>
        <w:t xml:space="preserve">ADA Advocate</w:t>
      </w:r>
    </w:p>
    <w:p w:rsidR="00000000" w:rsidDel="00000000" w:rsidP="00000000" w:rsidRDefault="00000000" w:rsidRPr="00000000" w14:paraId="0000000B">
      <w:pPr>
        <w:rPr/>
      </w:pPr>
      <w:r w:rsidDel="00000000" w:rsidR="00000000" w:rsidRPr="00000000">
        <w:rPr>
          <w:rtl w:val="0"/>
        </w:rPr>
        <w:t xml:space="preserve">ADA@FamilyCourtAntiCorruptionCoalition.com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Tool Kit for the courts regarding ADA Accommodations.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hyperlink r:id="rId6">
        <w:r w:rsidDel="00000000" w:rsidR="00000000" w:rsidRPr="00000000">
          <w:rPr>
            <w:color w:val="1155cc"/>
            <w:u w:val="single"/>
            <w:rtl w:val="0"/>
          </w:rPr>
          <w:t xml:space="preserve">https://www.ada.gov/pcatoolkit/chap3toolkit.htm</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highlight w:val="white"/>
        </w:rPr>
      </w:pPr>
      <w:hyperlink r:id="rId7">
        <w:r w:rsidDel="00000000" w:rsidR="00000000" w:rsidRPr="00000000">
          <w:rPr>
            <w:color w:val="1155cc"/>
            <w:highlight w:val="white"/>
            <w:u w:val="single"/>
            <w:rtl w:val="0"/>
          </w:rPr>
          <w:t xml:space="preserve">https://www.ada.gov/regs2016/final_rule_adaaa.html</w:t>
        </w:r>
      </w:hyperlink>
      <w:r w:rsidDel="00000000" w:rsidR="00000000" w:rsidRPr="00000000">
        <w:rPr>
          <w:rtl w:val="0"/>
        </w:rPr>
      </w:r>
    </w:p>
    <w:p w:rsidR="00000000" w:rsidDel="00000000" w:rsidP="00000000" w:rsidRDefault="00000000" w:rsidRPr="00000000" w14:paraId="00000013">
      <w:pPr>
        <w:rPr>
          <w:highlight w:val="white"/>
        </w:rPr>
      </w:pPr>
      <w:r w:rsidDel="00000000" w:rsidR="00000000" w:rsidRPr="00000000">
        <w:rPr>
          <w:rtl w:val="0"/>
        </w:rPr>
      </w:r>
    </w:p>
    <w:p w:rsidR="00000000" w:rsidDel="00000000" w:rsidP="00000000" w:rsidRDefault="00000000" w:rsidRPr="00000000" w14:paraId="00000014">
      <w:pPr>
        <w:rPr>
          <w:highlight w:val="white"/>
        </w:rPr>
      </w:pPr>
      <w:r w:rsidDel="00000000" w:rsidR="00000000" w:rsidRPr="00000000">
        <w:rPr>
          <w:rtl w:val="0"/>
        </w:rPr>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white"/>
          <w:rtl w:val="0"/>
        </w:rPr>
        <w:t xml:space="preserve">What does it mean for communication to be “effective”? Simply put, “effective communication” means that </w:t>
      </w:r>
      <w:r w:rsidDel="00000000" w:rsidR="00000000" w:rsidRPr="00000000">
        <w:rPr>
          <w:b w:val="1"/>
          <w:highlight w:val="white"/>
          <w:rtl w:val="0"/>
        </w:rPr>
        <w:t xml:space="preserve">whatever is written or spoken must be as clear and understandable to people with disabilities as it is for people who do not have disabilities</w:t>
      </w:r>
      <w:r w:rsidDel="00000000" w:rsidR="00000000" w:rsidRPr="00000000">
        <w:rPr>
          <w:highlight w:val="white"/>
          <w:rtl w:val="0"/>
        </w:rPr>
        <w:t xml:space="preserve">. This is important because some people have disabilities that affect how they communicate.</w:t>
      </w: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hd w:fill="ffffff" w:val="clear"/>
        <w:spacing w:after="240" w:before="240" w:lineRule="auto"/>
        <w:rPr>
          <w:b w:val="1"/>
        </w:rPr>
      </w:pPr>
      <w:r w:rsidDel="00000000" w:rsidR="00000000" w:rsidRPr="00000000">
        <w:rPr>
          <w:rtl w:val="0"/>
        </w:rPr>
      </w:r>
    </w:p>
    <w:p w:rsidR="00000000" w:rsidDel="00000000" w:rsidP="00000000" w:rsidRDefault="00000000" w:rsidRPr="00000000" w14:paraId="0000001B">
      <w:pPr>
        <w:shd w:fill="ffffff" w:val="clear"/>
        <w:spacing w:after="240" w:before="240" w:lineRule="auto"/>
        <w:rPr>
          <w:b w:val="1"/>
        </w:rPr>
      </w:pPr>
      <w:r w:rsidDel="00000000" w:rsidR="00000000" w:rsidRPr="00000000">
        <w:rPr>
          <w:b w:val="1"/>
          <w:rtl w:val="0"/>
        </w:rPr>
        <w:t xml:space="preserve">Remember, not all ways work for all people with disabilities or even for people with one type of disability. You must consult with the individual to determine what is effective for him or her.</w:t>
      </w:r>
    </w:p>
    <w:p w:rsidR="00000000" w:rsidDel="00000000" w:rsidP="00000000" w:rsidRDefault="00000000" w:rsidRPr="00000000" w14:paraId="0000001C">
      <w:pPr>
        <w:shd w:fill="ffffff" w:val="clear"/>
        <w:spacing w:after="240" w:before="240" w:lineRule="auto"/>
        <w:rPr/>
      </w:pPr>
      <w:r w:rsidDel="00000000" w:rsidR="00000000" w:rsidRPr="00000000">
        <w:rPr>
          <w:rtl w:val="0"/>
        </w:rPr>
      </w:r>
    </w:p>
    <w:p w:rsidR="00000000" w:rsidDel="00000000" w:rsidP="00000000" w:rsidRDefault="00000000" w:rsidRPr="00000000" w14:paraId="0000001D">
      <w:pPr>
        <w:shd w:fill="ffffff" w:val="clear"/>
        <w:spacing w:after="240" w:before="240" w:lineRule="auto"/>
        <w:rPr/>
      </w:pPr>
      <w:r w:rsidDel="00000000" w:rsidR="00000000" w:rsidRPr="00000000">
        <w:rPr>
          <w:rtl w:val="0"/>
        </w:rPr>
        <w:t xml:space="preserve">In addition to the above request all information that should be provided is listed below.</w:t>
      </w: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6.503010653079"/>
        <w:gridCol w:w="4673.49698934692"/>
        <w:tblGridChange w:id="0">
          <w:tblGrid>
            <w:gridCol w:w="4686.503010653079"/>
            <w:gridCol w:w="4673.49698934692"/>
          </w:tblGrid>
        </w:tblGridChange>
      </w:tblGrid>
      <w:tr>
        <w:trPr>
          <w:cantSplit w:val="0"/>
          <w:trHeight w:val="5255" w:hRule="atLeast"/>
          <w:tblHeader w:val="0"/>
        </w:trPr>
        <w:tc>
          <w:tcPr>
            <w:tcMar>
              <w:top w:w="100.0" w:type="dxa"/>
              <w:left w:w="100.0" w:type="dxa"/>
              <w:bottom w:w="100.0" w:type="dxa"/>
              <w:right w:w="100.0" w:type="dxa"/>
            </w:tcMar>
            <w:vAlign w:val="top"/>
          </w:tcPr>
          <w:p w:rsidR="00000000" w:rsidDel="00000000" w:rsidP="00000000" w:rsidRDefault="00000000" w:rsidRPr="00000000" w14:paraId="0000001E">
            <w:pPr>
              <w:numPr>
                <w:ilvl w:val="0"/>
                <w:numId w:val="1"/>
              </w:numPr>
              <w:spacing w:after="0" w:afterAutospacing="0" w:before="240" w:lineRule="auto"/>
              <w:ind w:left="720" w:hanging="360"/>
            </w:pPr>
            <w:r w:rsidDel="00000000" w:rsidR="00000000" w:rsidRPr="00000000">
              <w:rPr>
                <w:rtl w:val="0"/>
              </w:rPr>
              <w:t xml:space="preserve">ADA Advocate Via Zoom</w:t>
            </w:r>
          </w:p>
          <w:p w:rsidR="00000000" w:rsidDel="00000000" w:rsidP="00000000" w:rsidRDefault="00000000" w:rsidRPr="00000000" w14:paraId="0000001F">
            <w:pPr>
              <w:numPr>
                <w:ilvl w:val="0"/>
                <w:numId w:val="1"/>
              </w:numPr>
              <w:spacing w:after="0" w:afterAutospacing="0" w:before="0" w:beforeAutospacing="0" w:lineRule="auto"/>
              <w:ind w:left="720" w:hanging="360"/>
              <w:rPr>
                <w:u w:val="none"/>
              </w:rPr>
            </w:pPr>
            <w:r w:rsidDel="00000000" w:rsidR="00000000" w:rsidRPr="00000000">
              <w:rPr>
                <w:rtl w:val="0"/>
              </w:rPr>
              <w:t xml:space="preserve">All Electronic Recordings </w:t>
            </w:r>
          </w:p>
          <w:p w:rsidR="00000000" w:rsidDel="00000000" w:rsidP="00000000" w:rsidRDefault="00000000" w:rsidRPr="00000000" w14:paraId="00000020">
            <w:pPr>
              <w:numPr>
                <w:ilvl w:val="0"/>
                <w:numId w:val="1"/>
              </w:numPr>
              <w:spacing w:after="0" w:afterAutospacing="0" w:before="0" w:beforeAutospacing="0" w:lineRule="auto"/>
              <w:ind w:left="720" w:hanging="360"/>
            </w:pPr>
            <w:r w:rsidDel="00000000" w:rsidR="00000000" w:rsidRPr="00000000">
              <w:rPr>
                <w:rtl w:val="0"/>
              </w:rPr>
              <w:t xml:space="preserve">notetakers</w:t>
            </w:r>
          </w:p>
          <w:p w:rsidR="00000000" w:rsidDel="00000000" w:rsidP="00000000" w:rsidRDefault="00000000" w:rsidRPr="00000000" w14:paraId="00000021">
            <w:pPr>
              <w:numPr>
                <w:ilvl w:val="0"/>
                <w:numId w:val="1"/>
              </w:numPr>
              <w:spacing w:after="0" w:afterAutospacing="0" w:before="0" w:beforeAutospacing="0" w:lineRule="auto"/>
              <w:ind w:left="720" w:hanging="360"/>
            </w:pPr>
            <w:r w:rsidDel="00000000" w:rsidR="00000000" w:rsidRPr="00000000">
              <w:rPr>
                <w:rtl w:val="0"/>
              </w:rPr>
              <w:t xml:space="preserve">screen readers</w:t>
            </w:r>
          </w:p>
          <w:p w:rsidR="00000000" w:rsidDel="00000000" w:rsidP="00000000" w:rsidRDefault="00000000" w:rsidRPr="00000000" w14:paraId="00000022">
            <w:pPr>
              <w:numPr>
                <w:ilvl w:val="0"/>
                <w:numId w:val="1"/>
              </w:numPr>
              <w:spacing w:after="0" w:afterAutospacing="0" w:before="0" w:beforeAutospacing="0" w:lineRule="auto"/>
              <w:ind w:left="720" w:hanging="360"/>
            </w:pPr>
            <w:r w:rsidDel="00000000" w:rsidR="00000000" w:rsidRPr="00000000">
              <w:rPr>
                <w:rtl w:val="0"/>
              </w:rPr>
              <w:t xml:space="preserve">computer-aided real-time transcription (CART)</w:t>
            </w:r>
          </w:p>
          <w:p w:rsidR="00000000" w:rsidDel="00000000" w:rsidP="00000000" w:rsidRDefault="00000000" w:rsidRPr="00000000" w14:paraId="00000023">
            <w:pPr>
              <w:numPr>
                <w:ilvl w:val="0"/>
                <w:numId w:val="1"/>
              </w:numPr>
              <w:spacing w:after="0" w:afterAutospacing="0" w:before="0" w:beforeAutospacing="0" w:lineRule="auto"/>
              <w:ind w:left="720" w:hanging="360"/>
            </w:pPr>
            <w:r w:rsidDel="00000000" w:rsidR="00000000" w:rsidRPr="00000000">
              <w:rPr>
                <w:rtl w:val="0"/>
              </w:rPr>
              <w:t xml:space="preserve">All written material</w:t>
            </w:r>
          </w:p>
          <w:p w:rsidR="00000000" w:rsidDel="00000000" w:rsidP="00000000" w:rsidRDefault="00000000" w:rsidRPr="00000000" w14:paraId="00000024">
            <w:pPr>
              <w:numPr>
                <w:ilvl w:val="0"/>
                <w:numId w:val="1"/>
              </w:numPr>
              <w:spacing w:after="0" w:afterAutospacing="0" w:before="0" w:beforeAutospacing="0" w:lineRule="auto"/>
              <w:ind w:left="720" w:hanging="360"/>
            </w:pPr>
            <w:r w:rsidDel="00000000" w:rsidR="00000000" w:rsidRPr="00000000">
              <w:rPr>
                <w:rtl w:val="0"/>
              </w:rPr>
              <w:t xml:space="preserve">computer terminals</w:t>
            </w:r>
          </w:p>
          <w:p w:rsidR="00000000" w:rsidDel="00000000" w:rsidP="00000000" w:rsidRDefault="00000000" w:rsidRPr="00000000" w14:paraId="00000025">
            <w:pPr>
              <w:numPr>
                <w:ilvl w:val="0"/>
                <w:numId w:val="1"/>
              </w:numPr>
              <w:spacing w:after="0" w:afterAutospacing="0" w:before="0" w:beforeAutospacing="0" w:lineRule="auto"/>
              <w:ind w:left="720" w:hanging="360"/>
            </w:pPr>
            <w:r w:rsidDel="00000000" w:rsidR="00000000" w:rsidRPr="00000000">
              <w:rPr>
                <w:rtl w:val="0"/>
              </w:rPr>
              <w:t xml:space="preserve">speech synthesizers</w:t>
            </w:r>
          </w:p>
          <w:p w:rsidR="00000000" w:rsidDel="00000000" w:rsidP="00000000" w:rsidRDefault="00000000" w:rsidRPr="00000000" w14:paraId="00000026">
            <w:pPr>
              <w:numPr>
                <w:ilvl w:val="0"/>
                <w:numId w:val="1"/>
              </w:numPr>
              <w:spacing w:after="0" w:afterAutospacing="0" w:before="0" w:beforeAutospacing="0" w:lineRule="auto"/>
              <w:ind w:left="720" w:hanging="360"/>
            </w:pPr>
            <w:r w:rsidDel="00000000" w:rsidR="00000000" w:rsidRPr="00000000">
              <w:rPr>
                <w:rtl w:val="0"/>
              </w:rPr>
              <w:t xml:space="preserve">communication boards</w:t>
            </w:r>
          </w:p>
          <w:p w:rsidR="00000000" w:rsidDel="00000000" w:rsidP="00000000" w:rsidRDefault="00000000" w:rsidRPr="00000000" w14:paraId="00000027">
            <w:pPr>
              <w:numPr>
                <w:ilvl w:val="0"/>
                <w:numId w:val="1"/>
              </w:numPr>
              <w:spacing w:after="0" w:afterAutospacing="0" w:before="0" w:beforeAutospacing="0" w:lineRule="auto"/>
              <w:ind w:left="720" w:hanging="360"/>
            </w:pPr>
            <w:r w:rsidDel="00000000" w:rsidR="00000000" w:rsidRPr="00000000">
              <w:rPr>
                <w:rtl w:val="0"/>
              </w:rPr>
              <w:t xml:space="preserve">open or closed captioning</w:t>
            </w:r>
          </w:p>
          <w:p w:rsidR="00000000" w:rsidDel="00000000" w:rsidP="00000000" w:rsidRDefault="00000000" w:rsidRPr="00000000" w14:paraId="00000028">
            <w:pPr>
              <w:numPr>
                <w:ilvl w:val="0"/>
                <w:numId w:val="1"/>
              </w:numPr>
              <w:spacing w:after="240" w:before="0" w:beforeAutospacing="0" w:lineRule="auto"/>
              <w:ind w:left="720" w:hanging="360"/>
            </w:pPr>
            <w:r w:rsidDel="00000000" w:rsidR="00000000" w:rsidRPr="00000000">
              <w:rPr>
                <w:rtl w:val="0"/>
              </w:rPr>
              <w:t xml:space="preserve">closed caption decoders</w:t>
            </w:r>
          </w:p>
          <w:p w:rsidR="00000000" w:rsidDel="00000000" w:rsidP="00000000" w:rsidRDefault="00000000" w:rsidRPr="00000000" w14:paraId="00000029">
            <w:pPr>
              <w:spacing w:after="240" w:before="240" w:lineRule="auto"/>
              <w:ind w:left="720" w:firstLine="0"/>
              <w:rPr/>
            </w:pPr>
            <w:r w:rsidDel="00000000" w:rsidR="00000000" w:rsidRPr="00000000">
              <w:rPr>
                <w:rtl w:val="0"/>
              </w:rPr>
            </w:r>
          </w:p>
        </w:tc>
        <w:tc>
          <w:tcPr>
            <w:tcMar>
              <w:top w:w="100.0" w:type="dxa"/>
              <w:left w:w="100.0" w:type="dxa"/>
              <w:bottom w:w="100.0" w:type="dxa"/>
              <w:right w:w="100.0" w:type="dxa"/>
            </w:tcMar>
            <w:vAlign w:val="top"/>
          </w:tcPr>
          <w:p w:rsidR="00000000" w:rsidDel="00000000" w:rsidP="00000000" w:rsidRDefault="00000000" w:rsidRPr="00000000" w14:paraId="0000002A">
            <w:pPr>
              <w:numPr>
                <w:ilvl w:val="0"/>
                <w:numId w:val="2"/>
              </w:numPr>
              <w:spacing w:after="0" w:afterAutospacing="0" w:before="240" w:lineRule="auto"/>
              <w:ind w:left="720" w:hanging="360"/>
            </w:pPr>
            <w:r w:rsidDel="00000000" w:rsidR="00000000" w:rsidRPr="00000000">
              <w:rPr>
                <w:rtl w:val="0"/>
              </w:rPr>
              <w:t xml:space="preserve">videotext displays</w:t>
            </w:r>
          </w:p>
          <w:p w:rsidR="00000000" w:rsidDel="00000000" w:rsidP="00000000" w:rsidRDefault="00000000" w:rsidRPr="00000000" w14:paraId="0000002B">
            <w:pPr>
              <w:numPr>
                <w:ilvl w:val="0"/>
                <w:numId w:val="2"/>
              </w:numPr>
              <w:spacing w:after="0" w:afterAutospacing="0" w:before="0" w:beforeAutospacing="0" w:lineRule="auto"/>
              <w:ind w:left="720" w:hanging="360"/>
            </w:pPr>
            <w:r w:rsidDel="00000000" w:rsidR="00000000" w:rsidRPr="00000000">
              <w:rPr>
                <w:rtl w:val="0"/>
              </w:rPr>
              <w:t xml:space="preserve">description of visually presented materials</w:t>
            </w:r>
          </w:p>
          <w:p w:rsidR="00000000" w:rsidDel="00000000" w:rsidP="00000000" w:rsidRDefault="00000000" w:rsidRPr="00000000" w14:paraId="0000002C">
            <w:pPr>
              <w:numPr>
                <w:ilvl w:val="0"/>
                <w:numId w:val="2"/>
              </w:numPr>
              <w:spacing w:after="0" w:afterAutospacing="0" w:before="0" w:beforeAutospacing="0" w:lineRule="auto"/>
              <w:ind w:left="720" w:hanging="360"/>
            </w:pPr>
            <w:r w:rsidDel="00000000" w:rsidR="00000000" w:rsidRPr="00000000">
              <w:rPr>
                <w:rtl w:val="0"/>
              </w:rPr>
              <w:t xml:space="preserve">exchange of written notes</w:t>
            </w:r>
          </w:p>
          <w:p w:rsidR="00000000" w:rsidDel="00000000" w:rsidP="00000000" w:rsidRDefault="00000000" w:rsidRPr="00000000" w14:paraId="0000002D">
            <w:pPr>
              <w:numPr>
                <w:ilvl w:val="0"/>
                <w:numId w:val="2"/>
              </w:numPr>
              <w:spacing w:after="0" w:afterAutospacing="0" w:before="0" w:beforeAutospacing="0" w:lineRule="auto"/>
              <w:ind w:left="720" w:hanging="360"/>
            </w:pPr>
            <w:r w:rsidDel="00000000" w:rsidR="00000000" w:rsidRPr="00000000">
              <w:rPr>
                <w:rtl w:val="0"/>
              </w:rPr>
              <w:t xml:space="preserve">TTY or video relay service</w:t>
            </w:r>
          </w:p>
          <w:p w:rsidR="00000000" w:rsidDel="00000000" w:rsidP="00000000" w:rsidRDefault="00000000" w:rsidRPr="00000000" w14:paraId="0000002E">
            <w:pPr>
              <w:numPr>
                <w:ilvl w:val="0"/>
                <w:numId w:val="2"/>
              </w:numPr>
              <w:spacing w:after="0" w:afterAutospacing="0" w:before="0" w:beforeAutospacing="0" w:lineRule="auto"/>
              <w:ind w:left="720" w:hanging="360"/>
            </w:pPr>
            <w:r w:rsidDel="00000000" w:rsidR="00000000" w:rsidRPr="00000000">
              <w:rPr>
                <w:rtl w:val="0"/>
              </w:rPr>
              <w:t xml:space="preserve">email</w:t>
            </w:r>
          </w:p>
          <w:p w:rsidR="00000000" w:rsidDel="00000000" w:rsidP="00000000" w:rsidRDefault="00000000" w:rsidRPr="00000000" w14:paraId="0000002F">
            <w:pPr>
              <w:numPr>
                <w:ilvl w:val="0"/>
                <w:numId w:val="2"/>
              </w:numPr>
              <w:spacing w:after="0" w:afterAutospacing="0" w:before="0" w:beforeAutospacing="0" w:lineRule="auto"/>
              <w:ind w:left="720" w:hanging="360"/>
            </w:pPr>
            <w:r w:rsidDel="00000000" w:rsidR="00000000" w:rsidRPr="00000000">
              <w:rPr>
                <w:rtl w:val="0"/>
              </w:rPr>
              <w:t xml:space="preserve">text messaging</w:t>
            </w:r>
          </w:p>
          <w:p w:rsidR="00000000" w:rsidDel="00000000" w:rsidP="00000000" w:rsidRDefault="00000000" w:rsidRPr="00000000" w14:paraId="00000030">
            <w:pPr>
              <w:numPr>
                <w:ilvl w:val="0"/>
                <w:numId w:val="2"/>
              </w:numPr>
              <w:spacing w:after="0" w:afterAutospacing="0" w:before="0" w:beforeAutospacing="0" w:lineRule="auto"/>
              <w:ind w:left="720" w:hanging="360"/>
            </w:pPr>
            <w:r w:rsidDel="00000000" w:rsidR="00000000" w:rsidRPr="00000000">
              <w:rPr>
                <w:rtl w:val="0"/>
              </w:rPr>
              <w:t xml:space="preserve">instant messaging</w:t>
            </w:r>
          </w:p>
          <w:p w:rsidR="00000000" w:rsidDel="00000000" w:rsidP="00000000" w:rsidRDefault="00000000" w:rsidRPr="00000000" w14:paraId="00000031">
            <w:pPr>
              <w:numPr>
                <w:ilvl w:val="0"/>
                <w:numId w:val="2"/>
              </w:numPr>
              <w:spacing w:after="0" w:afterAutospacing="0" w:before="0" w:beforeAutospacing="0" w:lineRule="auto"/>
              <w:ind w:left="720" w:hanging="360"/>
            </w:pPr>
            <w:r w:rsidDel="00000000" w:rsidR="00000000" w:rsidRPr="00000000">
              <w:rPr>
                <w:rtl w:val="0"/>
              </w:rPr>
              <w:t xml:space="preserve">qualified readers</w:t>
            </w:r>
          </w:p>
          <w:p w:rsidR="00000000" w:rsidDel="00000000" w:rsidP="00000000" w:rsidRDefault="00000000" w:rsidRPr="00000000" w14:paraId="00000032">
            <w:pPr>
              <w:numPr>
                <w:ilvl w:val="0"/>
                <w:numId w:val="2"/>
              </w:numPr>
              <w:spacing w:after="0" w:afterAutospacing="0" w:before="0" w:beforeAutospacing="0" w:lineRule="auto"/>
              <w:ind w:left="720" w:hanging="360"/>
            </w:pPr>
            <w:r w:rsidDel="00000000" w:rsidR="00000000" w:rsidRPr="00000000">
              <w:rPr>
                <w:rtl w:val="0"/>
              </w:rPr>
              <w:t xml:space="preserve">taped texts</w:t>
            </w:r>
          </w:p>
          <w:p w:rsidR="00000000" w:rsidDel="00000000" w:rsidP="00000000" w:rsidRDefault="00000000" w:rsidRPr="00000000" w14:paraId="00000033">
            <w:pPr>
              <w:numPr>
                <w:ilvl w:val="0"/>
                <w:numId w:val="2"/>
              </w:numPr>
              <w:spacing w:after="0" w:afterAutospacing="0" w:before="0" w:beforeAutospacing="0" w:lineRule="auto"/>
              <w:ind w:left="720" w:hanging="360"/>
            </w:pPr>
            <w:r w:rsidDel="00000000" w:rsidR="00000000" w:rsidRPr="00000000">
              <w:rPr>
                <w:rtl w:val="0"/>
              </w:rPr>
              <w:t xml:space="preserve">audio recordings</w:t>
            </w:r>
          </w:p>
          <w:p w:rsidR="00000000" w:rsidDel="00000000" w:rsidP="00000000" w:rsidRDefault="00000000" w:rsidRPr="00000000" w14:paraId="00000034">
            <w:pPr>
              <w:numPr>
                <w:ilvl w:val="0"/>
                <w:numId w:val="2"/>
              </w:numPr>
              <w:spacing w:after="240" w:before="0" w:beforeAutospacing="0" w:lineRule="auto"/>
              <w:ind w:left="720" w:hanging="360"/>
            </w:pPr>
            <w:r w:rsidDel="00000000" w:rsidR="00000000" w:rsidRPr="00000000">
              <w:rPr>
                <w:rtl w:val="0"/>
              </w:rPr>
              <w:t xml:space="preserve">materials in electronic format (compact disc with materials in plain text or word processor format)</w:t>
            </w:r>
          </w:p>
          <w:p w:rsidR="00000000" w:rsidDel="00000000" w:rsidP="00000000" w:rsidRDefault="00000000" w:rsidRPr="00000000" w14:paraId="00000035">
            <w:pPr>
              <w:spacing w:after="240" w:before="240" w:lineRule="auto"/>
              <w:ind w:left="720" w:firstLine="0"/>
              <w:rPr/>
            </w:pPr>
            <w:r w:rsidDel="00000000" w:rsidR="00000000" w:rsidRPr="00000000">
              <w:rPr>
                <w:rtl w:val="0"/>
              </w:rPr>
            </w:r>
          </w:p>
        </w:tc>
      </w:tr>
    </w:tbl>
    <w:p w:rsidR="00000000" w:rsidDel="00000000" w:rsidP="00000000" w:rsidRDefault="00000000" w:rsidRPr="00000000" w14:paraId="00000036">
      <w:pPr>
        <w:shd w:fill="ffffff" w:val="clear"/>
        <w:spacing w:line="397.44" w:lineRule="auto"/>
        <w:rPr>
          <w:b w:val="1"/>
        </w:rPr>
      </w:pPr>
      <w:r w:rsidDel="00000000" w:rsidR="00000000" w:rsidRPr="00000000">
        <w:rPr>
          <w:rtl w:val="0"/>
        </w:rPr>
      </w:r>
    </w:p>
    <w:p w:rsidR="00000000" w:rsidDel="00000000" w:rsidP="00000000" w:rsidRDefault="00000000" w:rsidRPr="00000000" w14:paraId="00000037">
      <w:pPr>
        <w:shd w:fill="ffffff" w:val="clear"/>
        <w:spacing w:line="397.44" w:lineRule="auto"/>
        <w:rPr>
          <w:b w:val="1"/>
          <w:highlight w:val="white"/>
        </w:rPr>
      </w:pPr>
      <w:r w:rsidDel="00000000" w:rsidR="00000000" w:rsidRPr="00000000">
        <w:rPr>
          <w:rtl w:val="0"/>
        </w:rPr>
      </w:r>
    </w:p>
    <w:p w:rsidR="00000000" w:rsidDel="00000000" w:rsidP="00000000" w:rsidRDefault="00000000" w:rsidRPr="00000000" w14:paraId="00000038">
      <w:pPr>
        <w:shd w:fill="ffffff" w:val="clear"/>
        <w:spacing w:line="397.44" w:lineRule="auto"/>
        <w:rPr>
          <w:b w:val="1"/>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jc w:val="center"/>
      <w:rPr/>
    </w:pPr>
    <w:r w:rsidDel="00000000" w:rsidR="00000000" w:rsidRPr="00000000">
      <w:rPr>
        <w:rtl w:val="0"/>
      </w:rPr>
      <w:t xml:space="preserve">Family Court Anti-Corruption Coalition</w:t>
    </w:r>
  </w:p>
  <w:p w:rsidR="00000000" w:rsidDel="00000000" w:rsidP="00000000" w:rsidRDefault="00000000" w:rsidRPr="00000000" w14:paraId="00000042">
    <w:pPr>
      <w:jc w:val="center"/>
      <w:rPr/>
    </w:pPr>
    <w:r w:rsidDel="00000000" w:rsidR="00000000" w:rsidRPr="00000000">
      <w:rPr>
        <w:rtl w:val="0"/>
      </w:rPr>
      <w:t xml:space="preserve">We Are Better Together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jc w:val="center"/>
      <w:rPr/>
    </w:pPr>
    <w:r w:rsidDel="00000000" w:rsidR="00000000" w:rsidRPr="00000000">
      <w:rPr>
        <w:sz w:val="20"/>
        <w:szCs w:val="20"/>
      </w:rPr>
      <w:drawing>
        <wp:inline distB="114300" distT="114300" distL="114300" distR="114300">
          <wp:extent cx="921841" cy="7762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921841" cy="776288"/>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jc w:val="center"/>
      <w:rPr>
        <w:sz w:val="20"/>
        <w:szCs w:val="20"/>
      </w:rPr>
    </w:pPr>
    <w:r w:rsidDel="00000000" w:rsidR="00000000" w:rsidRPr="00000000">
      <w:rPr>
        <w:rtl w:val="0"/>
      </w:rPr>
    </w:r>
  </w:p>
  <w:p w:rsidR="00000000" w:rsidDel="00000000" w:rsidP="00000000" w:rsidRDefault="00000000" w:rsidRPr="00000000" w14:paraId="0000003C">
    <w:pPr>
      <w:jc w:val="center"/>
      <w:rPr>
        <w:sz w:val="20"/>
        <w:szCs w:val="20"/>
      </w:rPr>
    </w:pPr>
    <w:hyperlink r:id="rId2">
      <w:r w:rsidDel="00000000" w:rsidR="00000000" w:rsidRPr="00000000">
        <w:rPr>
          <w:color w:val="1155cc"/>
          <w:sz w:val="20"/>
          <w:szCs w:val="20"/>
          <w:u w:val="single"/>
          <w:rtl w:val="0"/>
        </w:rPr>
        <w:t xml:space="preserve">www.FamilyCourtAntiCorruptionCoalition.com</w:t>
      </w:r>
    </w:hyperlink>
    <w:r w:rsidDel="00000000" w:rsidR="00000000" w:rsidRPr="00000000">
      <w:rPr>
        <w:rtl w:val="0"/>
      </w:rPr>
    </w:r>
  </w:p>
  <w:p w:rsidR="00000000" w:rsidDel="00000000" w:rsidP="00000000" w:rsidRDefault="00000000" w:rsidRPr="00000000" w14:paraId="0000003D">
    <w:pPr>
      <w:jc w:val="center"/>
      <w:rPr>
        <w:sz w:val="20"/>
        <w:szCs w:val="20"/>
      </w:rPr>
    </w:pPr>
    <w:hyperlink r:id="rId3">
      <w:r w:rsidDel="00000000" w:rsidR="00000000" w:rsidRPr="00000000">
        <w:rPr>
          <w:color w:val="1155cc"/>
          <w:sz w:val="20"/>
          <w:szCs w:val="20"/>
          <w:u w:val="single"/>
          <w:rtl w:val="0"/>
        </w:rPr>
        <w:t xml:space="preserve">Support@FamilyCourtAntiCorruptionCoalition.com</w:t>
      </w:r>
    </w:hyperlink>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1231 Pacific Blvd. #420. Vancouver, BC V6Z0E2</w:t>
    </w:r>
  </w:p>
  <w:p w:rsidR="00000000" w:rsidDel="00000000" w:rsidP="00000000" w:rsidRDefault="00000000" w:rsidRPr="00000000" w14:paraId="0000003F">
    <w:pPr>
      <w:jc w:val="center"/>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ada.gov/pcatoolkit/chap3toolkit.htm" TargetMode="External"/><Relationship Id="rId7" Type="http://schemas.openxmlformats.org/officeDocument/2006/relationships/hyperlink" Target="https://www.ada.gov/regs2016/final_rule_adaaa.html"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hyperlink" Target="http://www.familycourtanticorruptioncoalition.com" TargetMode="External"/><Relationship Id="rId3" Type="http://schemas.openxmlformats.org/officeDocument/2006/relationships/hyperlink" Target="mailto:Support@FamilyCourtAntiCorruptionCoali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